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br w:type="textWrapping"/>
      </w: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ОБЩИЕ МЕТОДИЧЕСКИЕ РЕКОМЕНДАЦИИ</w:t>
      </w: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br w:type="textWrapping"/>
      </w: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ПО ВЫПОЛНЕНИЮ КОНТРОЛЬНЫХ РАБОТ</w:t>
      </w:r>
    </w:p>
    <w:p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lang w:val="en-US"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val="en-US" w:eastAsia="ru-RU"/>
        </w:rPr>
        <w:t>г.Ростов-на-Дону, 2023</w:t>
      </w:r>
      <w:bookmarkStart w:id="0" w:name="_GoBack"/>
      <w:bookmarkEnd w:id="0"/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Выполнение контрольных работ по дисциплине «Акмеология» – один из видов межсессионных заданий. Контрольные работы студенты заочного отделения выполняют после прослушивания установочных лекций. Выполнение заданий – важный этап в профессиональной подготовке магистрантов, так как они способствуют повышению качества усвоения программного материала, углубленному пониманию наиболее сложных вопросов курса, овладению научными методами анализа акмеологических проблем.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При составлении заданий, определении их характера, объема и сложности учитывалось то, что магистранты уже имеют навыки по изучению специальной литературы. Эти навыки должны быть использованы и при выполнении контрольных работ.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Настоящие методические рекомендации предназначены для выполнения контрольной работы по курсу «Акмеология». Ниже приводятся темы контрольных работ, а также список литературы, помогающий выполнить данную работу.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Тему задания следует выбирать по последней цифре в зачетке.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Сроки выполнения работ определяются графиком межсессионных заданий. По всем вопросам, возникающим в ходе выполнения заданий, следует обращаться к ведущему преподавателю.</w:t>
      </w:r>
    </w:p>
    <w:p>
      <w:pPr>
        <w:spacing w:before="100" w:beforeAutospacing="1" w:after="100" w:afterAutospacing="1" w:line="240" w:lineRule="auto"/>
        <w:jc w:val="center"/>
        <w:outlineLvl w:val="2"/>
        <w:rPr>
          <w:rFonts w:ascii="Arial" w:hAnsi="Arial" w:cs="Arial"/>
          <w:b/>
          <w:bCs/>
          <w:color w:val="000000"/>
          <w:sz w:val="27"/>
          <w:szCs w:val="27"/>
          <w:lang w:eastAsia="ru-RU"/>
        </w:rPr>
      </w:pPr>
      <w:r>
        <w:rPr>
          <w:rFonts w:ascii="Arial" w:hAnsi="Arial" w:cs="Arial"/>
          <w:b/>
          <w:bCs/>
          <w:color w:val="000000"/>
          <w:sz w:val="27"/>
          <w:szCs w:val="27"/>
          <w:lang w:eastAsia="ru-RU"/>
        </w:rPr>
        <w:t>ТЕХНОЛОГИЯ ВЫПОЛНЕНИЯ КОНТРОЛЬНОЙ РАБОТЫ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Подберите литературу по теме и изучите ее.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Осмыслите правильность и доказательность положений, выдвигаемых авторами первоисточников.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Обобщите материал и составьте план выполнения контрольной работы.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Напишите текст контрольной работы, следуя рекомендациям по оформлению работы.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В заключении работы выразите свое отношение к изучаемой теме, изложите свою собственную точку зрения или покажите, каким образом полученные Вами знания могут быть использованы в профессиональной деятельности.</w:t>
      </w:r>
    </w:p>
    <w:p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СТРУКТУРА КОНТРОЛЬНОЙ РАБОТЫ</w:t>
      </w: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br w:type="textWrapping"/>
      </w: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И ТРЕБОВАНИЯ К ЕЕ ОФОРМЛЕНИЮ</w:t>
      </w:r>
    </w:p>
    <w:p>
      <w:pPr>
        <w:spacing w:before="100" w:beforeAutospacing="1" w:after="100" w:afterAutospacing="1" w:line="240" w:lineRule="auto"/>
        <w:ind w:firstLine="709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Обязательными структурными элементами контрольной работы являются: титульный лист, план работы, введение, основная часть, заключение, литература.</w:t>
      </w:r>
    </w:p>
    <w:p>
      <w:pPr>
        <w:spacing w:before="100" w:beforeAutospacing="1" w:after="100" w:afterAutospacing="1" w:line="240" w:lineRule="auto"/>
        <w:ind w:firstLine="709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К вышеперечисленным структурным элементам предъявляется ряд требований: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Титульный лист</w:t>
      </w:r>
      <w:r>
        <w:rPr>
          <w:rFonts w:ascii="Arial" w:hAnsi="Arial" w:cs="Arial"/>
          <w:color w:val="000000"/>
          <w:sz w:val="21"/>
          <w:lang w:eastAsia="ru-RU"/>
        </w:rPr>
        <w:t> </w:t>
      </w:r>
      <w:r>
        <w:rPr>
          <w:rFonts w:ascii="Arial" w:hAnsi="Arial" w:cs="Arial"/>
          <w:color w:val="000000"/>
          <w:sz w:val="21"/>
          <w:szCs w:val="21"/>
          <w:lang w:eastAsia="ru-RU"/>
        </w:rPr>
        <w:t>оформляется в соответствии с примером, приведенным в приложении 1.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План</w:t>
      </w:r>
      <w:r>
        <w:rPr>
          <w:rFonts w:ascii="Arial" w:hAnsi="Arial" w:cs="Arial"/>
          <w:color w:val="000000"/>
          <w:sz w:val="21"/>
          <w:lang w:eastAsia="ru-RU"/>
        </w:rPr>
        <w:t> </w:t>
      </w:r>
      <w:r>
        <w:rPr>
          <w:rFonts w:ascii="Arial" w:hAnsi="Arial" w:cs="Arial"/>
          <w:color w:val="000000"/>
          <w:sz w:val="21"/>
          <w:szCs w:val="21"/>
          <w:lang w:eastAsia="ru-RU"/>
        </w:rPr>
        <w:t>контрольной работы включает названия всех разделов работы с указанием страниц начала каждого параграфа. Пример плана приведен в приложении 2.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Во</w:t>
      </w:r>
      <w:r>
        <w:rPr>
          <w:rFonts w:ascii="Arial" w:hAnsi="Arial" w:cs="Arial"/>
          <w:color w:val="000000"/>
          <w:sz w:val="21"/>
          <w:lang w:eastAsia="ru-RU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введении</w:t>
      </w:r>
      <w:r>
        <w:rPr>
          <w:rFonts w:ascii="Arial" w:hAnsi="Arial" w:cs="Arial"/>
          <w:color w:val="000000"/>
          <w:sz w:val="21"/>
          <w:lang w:eastAsia="ru-RU"/>
        </w:rPr>
        <w:t> </w:t>
      </w:r>
      <w:r>
        <w:rPr>
          <w:rFonts w:ascii="Arial" w:hAnsi="Arial" w:cs="Arial"/>
          <w:color w:val="000000"/>
          <w:sz w:val="21"/>
          <w:szCs w:val="21"/>
          <w:lang w:eastAsia="ru-RU"/>
        </w:rPr>
        <w:t>должны быть отражены мотивы выбора раскрываемой темы, обозначена ее актуальность в современной акмеологической науке и кратко раскрыта степень ее разработанности в современной отечественной и зарубежной литературе.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В</w:t>
      </w:r>
      <w:r>
        <w:rPr>
          <w:rFonts w:ascii="Arial" w:hAnsi="Arial" w:cs="Arial"/>
          <w:color w:val="000000"/>
          <w:sz w:val="21"/>
          <w:lang w:eastAsia="ru-RU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основной части</w:t>
      </w:r>
      <w:r>
        <w:rPr>
          <w:rFonts w:ascii="Arial" w:hAnsi="Arial" w:cs="Arial"/>
          <w:color w:val="000000"/>
          <w:sz w:val="21"/>
          <w:lang w:eastAsia="ru-RU"/>
        </w:rPr>
        <w:t> </w:t>
      </w:r>
      <w:r>
        <w:rPr>
          <w:rFonts w:ascii="Arial" w:hAnsi="Arial" w:cs="Arial"/>
          <w:color w:val="000000"/>
          <w:sz w:val="21"/>
          <w:szCs w:val="21"/>
          <w:lang w:eastAsia="ru-RU"/>
        </w:rPr>
        <w:t>работы последовательно раскрываются этапы изложения темы в соответствии с намеченным рабочим планом, который может быть представлен несколькими главами и разделами.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В</w:t>
      </w:r>
      <w:r>
        <w:rPr>
          <w:rFonts w:ascii="Arial" w:hAnsi="Arial" w:cs="Arial"/>
          <w:color w:val="000000"/>
          <w:sz w:val="21"/>
          <w:lang w:eastAsia="ru-RU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заключении</w:t>
      </w:r>
      <w:r>
        <w:rPr>
          <w:rFonts w:ascii="Arial" w:hAnsi="Arial" w:cs="Arial"/>
          <w:color w:val="000000"/>
          <w:sz w:val="21"/>
          <w:lang w:eastAsia="ru-RU"/>
        </w:rPr>
        <w:t> </w:t>
      </w:r>
      <w:r>
        <w:rPr>
          <w:rFonts w:ascii="Arial" w:hAnsi="Arial" w:cs="Arial"/>
          <w:color w:val="000000"/>
          <w:sz w:val="21"/>
          <w:szCs w:val="21"/>
          <w:lang w:eastAsia="ru-RU"/>
        </w:rPr>
        <w:t>подтверждается актуальность выбранной темы и выражается собственная точка зрения или отношение студента к изложенному материалу, а также обозначаются возможные способы применения усвоенного материала темы в будущей профессиональной деятельности.</w:t>
      </w:r>
    </w:p>
    <w:p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Литература</w:t>
      </w:r>
      <w:r>
        <w:rPr>
          <w:rFonts w:ascii="Arial" w:hAnsi="Arial" w:cs="Arial"/>
          <w:i/>
          <w:iCs/>
          <w:color w:val="000000"/>
          <w:sz w:val="21"/>
          <w:szCs w:val="21"/>
          <w:lang w:eastAsia="ru-RU"/>
        </w:rPr>
        <w:t>.</w:t>
      </w:r>
      <w:r>
        <w:rPr>
          <w:rFonts w:ascii="Arial" w:hAnsi="Arial" w:cs="Arial"/>
          <w:color w:val="000000"/>
          <w:sz w:val="21"/>
          <w:lang w:eastAsia="ru-RU"/>
        </w:rPr>
        <w:t> </w:t>
      </w:r>
      <w:r>
        <w:rPr>
          <w:rFonts w:ascii="Arial" w:hAnsi="Arial" w:cs="Arial"/>
          <w:color w:val="000000"/>
          <w:sz w:val="21"/>
          <w:szCs w:val="21"/>
          <w:lang w:eastAsia="ru-RU"/>
        </w:rPr>
        <w:t>Библиографический список литературы включает в себя только те работы, которые проработаны автором и на которые делаются ссылки в тексте. Литературные источники даются в алфавитном порядке фамилий авторов или названий сборников. Каждый литературный источник нумеруется. Пример приведен в приложении 3.</w:t>
      </w:r>
    </w:p>
    <w:p>
      <w:pPr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ТЕМЫ КОНТРОЛЬНОЙ РАБОТЫ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1. Акмеология как наука о развитии человека в период зрелости</w:t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Предмет акмеологии, его особенности и отличительные черты.</w:t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Понятие «зрелости», ее виды и закономерности формирования.</w:t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Методы исследования человека в период зрелости.</w:t>
      </w:r>
    </w:p>
    <w:p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Период зрелости в контексте развития человека в процессе5 жизненного пути.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2. Акмеология в системе человекознания.</w:t>
      </w:r>
    </w:p>
    <w:p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Место акмеологии среди общественных, гуманитарных, естественных и технических наук.</w:t>
      </w:r>
    </w:p>
    <w:p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Связь акмеологии с психологическими дисциплинами.</w:t>
      </w:r>
    </w:p>
    <w:p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Концептуальные аспекты акмеологического подхода.</w:t>
      </w:r>
    </w:p>
    <w:p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Методы акмеологии.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3. История становления акмеологии в отечественной науке</w:t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Зарождение акмеологического знания.</w:t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Этапы становления акмеологии в отечественной науке.</w:t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Зарубежные аналоги: теории профессионального развития (Ф. Парсонсон, Б. Мюнстерберг, Э. Роэ, Д. Холланд, Э. Гинзберг, Д. Сьюпер и др.), теории карьеры (А. Митчелл, А. Бандура, Дж. Роттер, Д. Холл, С. Осипов и др.).</w:t>
      </w:r>
    </w:p>
    <w:p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Современные возможности акмеологического знания.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4. Систематизация, обобщение и анализ человекознания в трудах Б.Г. Ананьева</w:t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Основные подходы к изучению человека.</w:t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Индивид, личность, индивидуальность, субъект.</w:t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Основания системы знаний о человеке.</w:t>
      </w:r>
    </w:p>
    <w:p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Концепция человекознания.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5. Проблемы периодизации возрастного развития человека: период зрелости</w:t>
      </w:r>
    </w:p>
    <w:p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Категория развития в современной психологии.</w:t>
      </w:r>
    </w:p>
    <w:p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Возрастное развитие человека, его отличительные особенности.</w:t>
      </w:r>
    </w:p>
    <w:p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Основания периодизаций возрастного развития, наиболее распространенные в акмеологической практике.</w:t>
      </w:r>
    </w:p>
    <w:p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периода зрелости.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6. Многоаспектность проблемы зрелости человека в акмеологии</w:t>
      </w:r>
    </w:p>
    <w:p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Понятие зрелости.</w:t>
      </w:r>
    </w:p>
    <w:p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Виды и типы зрелости (гражданская, возрастная, профессиональная, социально-статусная и др.).</w:t>
      </w:r>
    </w:p>
    <w:p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Возможности исследования.</w:t>
      </w:r>
    </w:p>
    <w:p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Стратегии формирования.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7. Виды и критерии зрелости человека</w:t>
      </w:r>
    </w:p>
    <w:p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Виды и типы зрелости, их характеристика.</w:t>
      </w:r>
    </w:p>
    <w:p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Показатели зрелости.</w:t>
      </w:r>
    </w:p>
    <w:p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Критерии зрелости человека как мера ее сформированности.</w:t>
      </w:r>
    </w:p>
    <w:p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Возможности диагностики.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8. Явление «акме», его виды и характеристики</w:t>
      </w:r>
    </w:p>
    <w:p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Понятие «акме» в историческом знании и современной науке.</w:t>
      </w:r>
    </w:p>
    <w:p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Виды «акме» в психологическом и социальном аспектах.</w:t>
      </w:r>
    </w:p>
    <w:p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Общая характеристика достижений человека.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9. «Акме» человека как индивида</w:t>
      </w:r>
    </w:p>
    <w:p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Понятие «акме» в современной науке.</w:t>
      </w:r>
    </w:p>
    <w:p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человека как индивида.</w:t>
      </w:r>
    </w:p>
    <w:p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Возможности достижения вершины в индивидуальном развитии.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10. «Акме» человека как личности</w:t>
      </w:r>
    </w:p>
    <w:p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Понятие «акме» в современной науке.</w:t>
      </w:r>
    </w:p>
    <w:p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человека как личности.</w:t>
      </w:r>
    </w:p>
    <w:p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Возможности достижения вершины в личностном развитии.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11. «Акме» человека как субъекта деятельности</w:t>
      </w:r>
    </w:p>
    <w:p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Понятие «акме» в современной науке.</w:t>
      </w:r>
    </w:p>
    <w:p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человека как субъекта деятельности.</w:t>
      </w:r>
    </w:p>
    <w:p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Возможности достижения вершины в профессиональном развитии.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12. «Акме» и индивидуальность</w:t>
      </w:r>
    </w:p>
    <w:p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Понятие «акме» в современной науке.</w:t>
      </w:r>
    </w:p>
    <w:p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человека как индивидуальности.</w:t>
      </w:r>
    </w:p>
    <w:p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Возможности достижения вершины в индивидуальном развитии.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13. Феномен «псевдоакме»</w:t>
      </w:r>
    </w:p>
    <w:p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Понятие «псевдоакме».</w:t>
      </w:r>
    </w:p>
    <w:p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феномена псевдодостижений человека в различных сферах (социальной, профессиональной и др.).</w:t>
      </w:r>
    </w:p>
    <w:p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Причины формирования и проявления псевдоакме.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14. Факторы достижения «акме» человеком</w:t>
      </w:r>
    </w:p>
    <w:p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Объективные условия достижения «акме» человеком.</w:t>
      </w:r>
    </w:p>
    <w:p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Субъективные предпосылки и факторы, детерминирующие достижения.</w:t>
      </w:r>
    </w:p>
    <w:p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Конструктивные стратегии развития человека.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15. Роль социальной макро- и микросред в развитии человека</w:t>
      </w:r>
    </w:p>
    <w:p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развития в различных подходах.</w:t>
      </w:r>
    </w:p>
    <w:p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Детерминация развития.</w:t>
      </w:r>
    </w:p>
    <w:p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Роль социальной среды в развитии человека.</w:t>
      </w:r>
    </w:p>
    <w:p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Социоморфизм (социогенез).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16. Роль самого человека в достижении вершин в развитии</w:t>
      </w:r>
    </w:p>
    <w:p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развития в различных подходах.</w:t>
      </w:r>
    </w:p>
    <w:p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Детерминация развития.</w:t>
      </w:r>
    </w:p>
    <w:p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Роль активности человека в достижении вершин в развитии.</w:t>
      </w:r>
    </w:p>
    <w:p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Субъектность как условие развития.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17. Типичные стратегии жизненного пути, способствующие развитию «акме»</w:t>
      </w:r>
    </w:p>
    <w:p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Понятие жизненного пути в акмеологии.</w:t>
      </w:r>
    </w:p>
    <w:p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Возможности исследования и формирования.</w:t>
      </w:r>
    </w:p>
    <w:p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Типология стратегий жизненного пути.</w:t>
      </w:r>
    </w:p>
    <w:p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Стратегии, способствующие развитию.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18. Типичные стратегии жизненного пути, препятствующие развитию «акме»</w:t>
      </w:r>
    </w:p>
    <w:p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Понятие жизненного пути в акмеологии.</w:t>
      </w:r>
    </w:p>
    <w:p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Возможности исследования и формирования.</w:t>
      </w:r>
    </w:p>
    <w:p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Типология стратегий жизненного пути.</w:t>
      </w:r>
    </w:p>
    <w:p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Стратегии, препятствующие развитию.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19. Профессионализм как базовая характеристика «акме»</w:t>
      </w:r>
    </w:p>
    <w:p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Виды проявления «акме» человека (социальное, профессиональное, политическое, психологическое и др.).</w:t>
      </w:r>
    </w:p>
    <w:p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профессиональных достижений.</w:t>
      </w:r>
    </w:p>
    <w:p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Понятие профессионализма.</w:t>
      </w:r>
    </w:p>
    <w:p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Показатели и критерии профессионализма.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20. Общие закономерности становления профессионала</w:t>
      </w:r>
    </w:p>
    <w:p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основных отечественных и зарубежных тенденций становления профессионала.</w:t>
      </w:r>
    </w:p>
    <w:p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Механизмы формирования профессиональной деятельности.</w:t>
      </w:r>
    </w:p>
    <w:p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Закономерности формирования личности профессионала.</w:t>
      </w:r>
    </w:p>
    <w:p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Общее и специфическое в профессиональном развитии.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21. Уровни, этапы, ступени профессионализма</w:t>
      </w:r>
    </w:p>
    <w:p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Многоступенчатость и многоплановость процесса профессионального развития человека.</w:t>
      </w:r>
    </w:p>
    <w:p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Периодизация профессионального развития по разным основаниям.</w:t>
      </w:r>
    </w:p>
    <w:p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основных этапов профессионализации: оптации, подготовки, адаптации, профессионализации, мастерства.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22. Профессионализм и карьера</w:t>
      </w:r>
    </w:p>
    <w:p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Понятие карьеры в отечественных и зарубежных исследованиях.</w:t>
      </w:r>
    </w:p>
    <w:p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Факторы развития карьеры: биологические, социальные, личностные.</w:t>
      </w:r>
    </w:p>
    <w:p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Профессионализм, его основные характеристики и проявления.</w:t>
      </w:r>
    </w:p>
    <w:p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Профессионализм как условие и результат развития карьеры.</w:t>
      </w:r>
    </w:p>
    <w:p>
      <w:pPr>
        <w:spacing w:before="100" w:beforeAutospacing="1" w:after="100" w:afterAutospacing="1" w:line="240" w:lineRule="auto"/>
        <w:ind w:left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23. Профессионализм и возраст</w:t>
      </w:r>
    </w:p>
    <w:p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Основные характеристики возрастного развития.</w:t>
      </w:r>
    </w:p>
    <w:p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Характеристика периодов активного включения в профессиональную деятельность.</w:t>
      </w:r>
    </w:p>
    <w:p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Возможности достижения профессионализма в различные возрастные периоды.</w:t>
      </w:r>
    </w:p>
    <w:p>
      <w:pPr>
        <w:spacing w:before="100" w:beforeAutospacing="1" w:after="100" w:afterAutospacing="1" w:line="240" w:lineRule="auto"/>
        <w:ind w:firstLine="720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b/>
          <w:bCs/>
          <w:color w:val="000000"/>
          <w:sz w:val="21"/>
          <w:szCs w:val="21"/>
          <w:lang w:eastAsia="ru-RU"/>
        </w:rPr>
        <w:t>Тема 24. Прикладные области акмеологии</w:t>
      </w:r>
    </w:p>
    <w:p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Практическое значение акмеологического знания.</w:t>
      </w:r>
    </w:p>
    <w:p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Акмеология в спорте.</w:t>
      </w:r>
    </w:p>
    <w:p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Акмеология в политике.</w:t>
      </w:r>
    </w:p>
    <w:p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Акмеология в образовании.</w:t>
      </w:r>
    </w:p>
    <w:p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t> Акмеология в экономике.</w:t>
      </w:r>
    </w:p>
    <w:p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Информационно-методическое обеспечение</w:t>
      </w:r>
    </w:p>
    <w:tbl>
      <w:tblPr>
        <w:tblStyle w:val="3"/>
        <w:tblW w:w="9828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9240" w:type="dxa"/>
          </w:tcPr>
          <w:p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Основная литература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Акмеология / Под ред. А.А. Деркача. – М.; РАГС, 2012.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Анисимов С.А., Деркач А.А., Конюхов Н.И., Павлов Б.С. Методы акмеологических исследований. - М.; РАГС, 2002.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Богданов Е. Н., Зазыкин В. Г. Введение в акмеологию. – Калуга: КГПУ, 2000; 2001.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Деркач А.А., Зазыкин В.Г. Акмеология. - М.;  Питер, 2003.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Деркач А. А., Зазыкин В. Г., Маркова А. К. Психология развития профессионала. - М.: РАГС, 2000.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Деркач А. А. Акмеология: личностное и профессиональное развитие человека. Сочинение в пяти томах. – М.: РАГС, 1999-2001.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Иванова Е.М. Основы психологического изучения профессиональной деятельности. - М.; 2005.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Климов Е.А. Пути в профессионализм (психологический взгляд). Учебное пособие. - М.; Флинта, 2003.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Маркова А.К. Психология профессионализма. - М.; 1996.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Москаленко О.В. Акмеология профессиональной карьеры личности / Под общ.ред. А.А. Деркача. М.: РАГС, 2007.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Огнев А.С., Гончаров Ю.Н. Психодиагностика и акмеография. – Воронеж:  ВФ РАГС, 1997.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Психолого-акмеологическая служба. Настольная книга практического психолога / Под ред. Е. А. Яблоковой. – М.: РАГС, 2001.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Самоукина Н.В. Психология профессиональной деятельности. - М.; Питер,  2003.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Степнова Л. А. Развитие аутопсихологической компетентности: овладение акмеологическими технологиями. – М.: РАГС, 2001.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Дополнительная литература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Абульханова-Славская К.А. Стратегии жизни. – М.; Мысль, 1991.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Анцыферова Л.И. Психология формирования и развития личности // человек в системе наук. М.; Наука, 1989.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Безносов С.П. Профессиональная деформация личности.– Спб.; Речь, 2004.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Бодалев А. А., Рудкевич Л. А. Как становятся великими и выдающимися. – М.; Ин-т психотерапии, 2003.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Бодалев А. А. Вершина в развитии взрослого человека: характеристики и условия достижения. – М.: Флинта-Наука, 1998.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Деркач А. А., Кузьмина Н. В. Акмеология: пути достижения вершин профессионализма. – М.: РАУ, 1993.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Деркач А. А., ОрбанЛ. Э. Акмеологические основы становления психологической и профессиональной зрелости личности. – М.: 1995.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Елисеев О.П. Практикум по психологии личности.- Спб.; Питер, 2000.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Ермолаева М.В. Основы возрастной психологии и акмеологии. Учебное пособие. - М.; Ось – 89, 2003.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Климов Е.А. Образ мира в разнотипных профессиях. - М.; 1995.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Климов Е.А. Психология профессионала. – М.; Воронеж: МПСИ, 1996.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Климов Е.А. Становление профессионала. – М.; Воронеж: МПСИ,1996.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Крайг Г. Психология развития. – СПб.: Питер, 2000-1, 2002.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Мучински П. Психология, профессия, карьера. - М.;  Питер, 2004.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Психология личности: новые исследования / Под ред. К. А. Абульхановой, А. В. Брушлинского и М. И. Воловиковой. – М.: ИП РАН, 1998.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Рогов Е.И. Выбор профессии: Становление профессионала. – М.; Владос-пресс, 2003.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Социальная психология личности в вопросах и ответах: Учебное пособие / Под ред. Лабунской. –М.; Гардарики, 1999.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Слободчиков В. И., Исаев Е. И. Психология развития человека. – М.: Школьная пресса, 2000.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Шульц Д., Шульц С. Психология и работа. - М.;  Питер, 2003.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8" w:type="dxa"/>
          </w:tcPr>
          <w:p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40" w:type="dxa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Хьелл Л., ЗиглерД. Теории личности. – СПб.: Питер, 1998.</w:t>
            </w:r>
          </w:p>
        </w:tc>
      </w:tr>
    </w:tbl>
    <w:p>
      <w:pPr>
        <w:rPr>
          <w:rFonts w:ascii="Times New Roman" w:hAnsi="Times New Roman"/>
          <w:b/>
          <w:bCs/>
          <w:sz w:val="24"/>
          <w:szCs w:val="24"/>
        </w:rPr>
      </w:pPr>
    </w:p>
    <w:p>
      <w:pPr>
        <w:spacing w:before="100" w:beforeAutospacing="1" w:after="100" w:afterAutospacing="1" w:line="240" w:lineRule="auto"/>
        <w:ind w:firstLine="720"/>
        <w:outlineLvl w:val="1"/>
        <w:rPr>
          <w:rFonts w:ascii="Arial" w:hAnsi="Arial" w:cs="Arial"/>
          <w:b/>
          <w:bCs/>
          <w:color w:val="000000"/>
          <w:sz w:val="36"/>
          <w:szCs w:val="36"/>
          <w:lang w:eastAsia="ru-RU"/>
        </w:rPr>
      </w:pPr>
    </w:p>
    <w:p>
      <w:pPr>
        <w:spacing w:before="100" w:beforeAutospacing="1" w:after="100" w:afterAutospacing="1" w:line="240" w:lineRule="auto"/>
        <w:ind w:firstLine="720"/>
        <w:outlineLvl w:val="1"/>
        <w:rPr>
          <w:rFonts w:ascii="Arial" w:hAnsi="Arial" w:cs="Arial"/>
          <w:b/>
          <w:bCs/>
          <w:color w:val="000000"/>
          <w:sz w:val="36"/>
          <w:szCs w:val="36"/>
          <w:lang w:eastAsia="ru-RU"/>
        </w:rPr>
      </w:pPr>
    </w:p>
    <w:p>
      <w:pPr>
        <w:spacing w:before="100" w:beforeAutospacing="1" w:after="100" w:afterAutospacing="1" w:line="240" w:lineRule="auto"/>
        <w:ind w:firstLine="720"/>
        <w:outlineLvl w:val="1"/>
        <w:rPr>
          <w:rFonts w:ascii="Arial" w:hAnsi="Arial" w:cs="Arial"/>
          <w:b/>
          <w:bCs/>
          <w:color w:val="000000"/>
          <w:sz w:val="36"/>
          <w:szCs w:val="36"/>
          <w:lang w:eastAsia="ru-RU"/>
        </w:rPr>
      </w:pPr>
    </w:p>
    <w:p>
      <w:pPr>
        <w:spacing w:before="100" w:beforeAutospacing="1" w:after="100" w:afterAutospacing="1" w:line="240" w:lineRule="auto"/>
        <w:ind w:firstLine="720"/>
        <w:outlineLvl w:val="1"/>
        <w:rPr>
          <w:rFonts w:ascii="Arial" w:hAnsi="Arial" w:cs="Arial"/>
          <w:b/>
          <w:bCs/>
          <w:color w:val="000000"/>
          <w:sz w:val="36"/>
          <w:szCs w:val="36"/>
          <w:lang w:eastAsia="ru-RU"/>
        </w:rPr>
      </w:pPr>
    </w:p>
    <w:p>
      <w:pPr>
        <w:spacing w:before="100" w:beforeAutospacing="1" w:after="100" w:afterAutospacing="1" w:line="240" w:lineRule="auto"/>
        <w:jc w:val="right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br w:type="textWrapping"/>
      </w:r>
    </w:p>
    <w:p>
      <w:pPr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21"/>
          <w:szCs w:val="21"/>
          <w:lang w:eastAsia="ru-RU"/>
        </w:rPr>
        <w:br w:type="page"/>
      </w:r>
    </w:p>
    <w:p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ПРИЛОЖЕНИЕ 1</w:t>
      </w:r>
    </w:p>
    <w:p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Образец оформления плана контрольной работы</w:t>
      </w:r>
    </w:p>
    <w:p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План</w:t>
      </w:r>
    </w:p>
    <w:p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Введение.....................................................................................................3</w:t>
      </w:r>
    </w:p>
    <w:p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1. Место акмеологии среди общественных, гуманитарных, естественных и технических наук...................................................................5</w:t>
      </w:r>
    </w:p>
    <w:p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 Связь акмеологии с психологическими дисциплинами.......................9</w:t>
      </w:r>
    </w:p>
    <w:p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 Концептуальные аспекты акмеологического подхода.......................11</w:t>
      </w:r>
    </w:p>
    <w:p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 Методы акмеологии...............................................................................15</w:t>
      </w:r>
    </w:p>
    <w:p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Заключение.................................................................................................18</w:t>
      </w:r>
    </w:p>
    <w:p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Литература.................................................................................................20</w:t>
      </w:r>
    </w:p>
    <w:p>
      <w:pPr>
        <w:spacing w:before="100" w:beforeAutospacing="1" w:after="100" w:afterAutospacing="1" w:line="240" w:lineRule="auto"/>
        <w:ind w:firstLine="720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  <w:t>ПРИЛОЖЕНИЕ 2</w:t>
      </w:r>
    </w:p>
    <w:p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Пример оформления списка литературы</w:t>
      </w:r>
    </w:p>
    <w:p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Литература:</w:t>
      </w:r>
    </w:p>
    <w:p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Абульханова-Славская К.А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 Стратегия жизни. М.: Мысль, 1991.</w:t>
      </w:r>
    </w:p>
    <w:p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Бодалев А.А.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О предмете акмеологии // Психол. журн. 1993. № 5. С. 73-81.</w:t>
      </w:r>
    </w:p>
    <w:p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 Психологические закономерности профессионализации / Под ред. Н.П. Анисимовой. Ярославль: ЯрГПУ, 1991.</w:t>
      </w:r>
    </w:p>
    <w:p>
      <w:pPr>
        <w:spacing w:before="100" w:beforeAutospacing="1" w:after="100" w:afterAutospacing="1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br w:type="textWrapping"/>
      </w:r>
    </w:p>
    <w:p/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A4A79"/>
    <w:multiLevelType w:val="multilevel"/>
    <w:tmpl w:val="004A4A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">
    <w:nsid w:val="01960C8A"/>
    <w:multiLevelType w:val="multilevel"/>
    <w:tmpl w:val="01960C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2">
    <w:nsid w:val="05B05AA7"/>
    <w:multiLevelType w:val="multilevel"/>
    <w:tmpl w:val="05B05A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3">
    <w:nsid w:val="08F011CA"/>
    <w:multiLevelType w:val="multilevel"/>
    <w:tmpl w:val="08F011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4">
    <w:nsid w:val="16BA13C3"/>
    <w:multiLevelType w:val="multilevel"/>
    <w:tmpl w:val="16BA13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5">
    <w:nsid w:val="238F570E"/>
    <w:multiLevelType w:val="multilevel"/>
    <w:tmpl w:val="238F57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6">
    <w:nsid w:val="244F1854"/>
    <w:multiLevelType w:val="multilevel"/>
    <w:tmpl w:val="244F18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7">
    <w:nsid w:val="29C4004A"/>
    <w:multiLevelType w:val="multilevel"/>
    <w:tmpl w:val="29C400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8">
    <w:nsid w:val="29F4272E"/>
    <w:multiLevelType w:val="multilevel"/>
    <w:tmpl w:val="29F427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9">
    <w:nsid w:val="2BB90DC2"/>
    <w:multiLevelType w:val="multilevel"/>
    <w:tmpl w:val="2BB90D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0">
    <w:nsid w:val="2C31181F"/>
    <w:multiLevelType w:val="multilevel"/>
    <w:tmpl w:val="2C3118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1">
    <w:nsid w:val="30770D59"/>
    <w:multiLevelType w:val="multilevel"/>
    <w:tmpl w:val="30770D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2">
    <w:nsid w:val="30F43414"/>
    <w:multiLevelType w:val="multilevel"/>
    <w:tmpl w:val="30F434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3">
    <w:nsid w:val="39D55A89"/>
    <w:multiLevelType w:val="multilevel"/>
    <w:tmpl w:val="39D55A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4">
    <w:nsid w:val="3D1752A4"/>
    <w:multiLevelType w:val="multilevel"/>
    <w:tmpl w:val="3D1752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5">
    <w:nsid w:val="3F816FAA"/>
    <w:multiLevelType w:val="multilevel"/>
    <w:tmpl w:val="3F816F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6">
    <w:nsid w:val="555B3CAD"/>
    <w:multiLevelType w:val="multilevel"/>
    <w:tmpl w:val="555B3C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7">
    <w:nsid w:val="55D10350"/>
    <w:multiLevelType w:val="multilevel"/>
    <w:tmpl w:val="55D103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8">
    <w:nsid w:val="59124E7D"/>
    <w:multiLevelType w:val="multilevel"/>
    <w:tmpl w:val="59124E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9">
    <w:nsid w:val="5C586EAC"/>
    <w:multiLevelType w:val="multilevel"/>
    <w:tmpl w:val="5C586E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20">
    <w:nsid w:val="5D681DFC"/>
    <w:multiLevelType w:val="multilevel"/>
    <w:tmpl w:val="5D681D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21">
    <w:nsid w:val="6322559E"/>
    <w:multiLevelType w:val="multilevel"/>
    <w:tmpl w:val="632255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22">
    <w:nsid w:val="69ED6F6A"/>
    <w:multiLevelType w:val="multilevel"/>
    <w:tmpl w:val="69ED6F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23">
    <w:nsid w:val="6A551918"/>
    <w:multiLevelType w:val="multilevel"/>
    <w:tmpl w:val="6A5519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24">
    <w:nsid w:val="6F4C0FE9"/>
    <w:multiLevelType w:val="multilevel"/>
    <w:tmpl w:val="6F4C0F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25">
    <w:nsid w:val="74C277E3"/>
    <w:multiLevelType w:val="multilevel"/>
    <w:tmpl w:val="74C277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26">
    <w:nsid w:val="7AE44C94"/>
    <w:multiLevelType w:val="multilevel"/>
    <w:tmpl w:val="7AE44C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23"/>
  </w:num>
  <w:num w:numId="2">
    <w:abstractNumId w:val="1"/>
  </w:num>
  <w:num w:numId="3">
    <w:abstractNumId w:val="10"/>
  </w:num>
  <w:num w:numId="4">
    <w:abstractNumId w:val="15"/>
  </w:num>
  <w:num w:numId="5">
    <w:abstractNumId w:val="14"/>
  </w:num>
  <w:num w:numId="6">
    <w:abstractNumId w:val="13"/>
  </w:num>
  <w:num w:numId="7">
    <w:abstractNumId w:val="4"/>
  </w:num>
  <w:num w:numId="8">
    <w:abstractNumId w:val="8"/>
  </w:num>
  <w:num w:numId="9">
    <w:abstractNumId w:val="5"/>
  </w:num>
  <w:num w:numId="10">
    <w:abstractNumId w:val="3"/>
  </w:num>
  <w:num w:numId="11">
    <w:abstractNumId w:val="11"/>
  </w:num>
  <w:num w:numId="12">
    <w:abstractNumId w:val="6"/>
  </w:num>
  <w:num w:numId="13">
    <w:abstractNumId w:val="25"/>
  </w:num>
  <w:num w:numId="14">
    <w:abstractNumId w:val="26"/>
  </w:num>
  <w:num w:numId="15">
    <w:abstractNumId w:val="9"/>
  </w:num>
  <w:num w:numId="16">
    <w:abstractNumId w:val="24"/>
  </w:num>
  <w:num w:numId="17">
    <w:abstractNumId w:val="20"/>
  </w:num>
  <w:num w:numId="18">
    <w:abstractNumId w:val="16"/>
  </w:num>
  <w:num w:numId="19">
    <w:abstractNumId w:val="7"/>
  </w:num>
  <w:num w:numId="20">
    <w:abstractNumId w:val="12"/>
  </w:num>
  <w:num w:numId="21">
    <w:abstractNumId w:val="17"/>
  </w:num>
  <w:num w:numId="22">
    <w:abstractNumId w:val="18"/>
  </w:num>
  <w:num w:numId="23">
    <w:abstractNumId w:val="19"/>
  </w:num>
  <w:num w:numId="24">
    <w:abstractNumId w:val="0"/>
  </w:num>
  <w:num w:numId="25">
    <w:abstractNumId w:val="2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090BD6"/>
    <w:rsid w:val="000213D5"/>
    <w:rsid w:val="00084328"/>
    <w:rsid w:val="00090BD6"/>
    <w:rsid w:val="000B70E3"/>
    <w:rsid w:val="00226FEC"/>
    <w:rsid w:val="002378AD"/>
    <w:rsid w:val="00366079"/>
    <w:rsid w:val="003752E4"/>
    <w:rsid w:val="00387DB8"/>
    <w:rsid w:val="003A339E"/>
    <w:rsid w:val="005301BA"/>
    <w:rsid w:val="007C24AE"/>
    <w:rsid w:val="00800A5A"/>
    <w:rsid w:val="008F5512"/>
    <w:rsid w:val="00AB7FA1"/>
    <w:rsid w:val="00BA05DE"/>
    <w:rsid w:val="00D448BF"/>
    <w:rsid w:val="00E31918"/>
    <w:rsid w:val="10E72A33"/>
    <w:rsid w:val="5FED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1980</Words>
  <Characters>11288</Characters>
  <Lines>94</Lines>
  <Paragraphs>26</Paragraphs>
  <TotalTime>1</TotalTime>
  <ScaleCrop>false</ScaleCrop>
  <LinksUpToDate>false</LinksUpToDate>
  <CharactersWithSpaces>13242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2019-10-03T07:03:00Z</dcterms:created>
  <dc:creator>User</dc:creator>
  <cp:lastModifiedBy>Kingsoft Corporation</cp:lastModifiedBy>
  <dcterms:modified xsi:type="dcterms:W3CDTF">2023-10-25T09:11:02Z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